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F2" w:rsidRDefault="00CA6CA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участники мероприятия!</w:t>
      </w:r>
    </w:p>
    <w:p w:rsidR="000969F2" w:rsidRDefault="000969F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Представленный Вашему вниманию доклад содержит обзор правоприменительной практики Северо-Западного управления Ростехнадзора за 2024 год и подготовлен в целях реализации положений Федерального закона от 31.07.2020 № 248-ФЗ «О государственном контроле (надзоре) и муниципальном контроле».</w:t>
      </w: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 правоприменительной практики является одним из видов профилактических мероприятий, осуществляемых Северо-Западным управлением Ростехнадзора, и проводится для решения следующих задач:</w:t>
      </w: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(надзоре);</w:t>
      </w: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предложений об актуализации обязательных требований;</w:t>
      </w: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слайде представлены виды государственного контроля (надзора), осуществляемые Северо-Западным управлением Ростехнадзора, а именно: 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 промышленной безопасности;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строительный надзор;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энергетический надзор;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 безопасности гидротехнических сооружений;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горный надзор;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надзор за деятельностью саморегулируемых организаций в области энергетического обследования;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лицензионный контроль (надзор) за деятельностью, связанной с обращением взрывчатых материалов промышленного назначения;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лицензионный контроль (надзор) за деятельностью по проведению экспертизы промышленной безопасности;</w:t>
      </w:r>
    </w:p>
    <w:p w:rsidR="000969F2" w:rsidRDefault="00CA6CAE">
      <w:pPr>
        <w:pStyle w:val="af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лицензионный контроль (надзор) за производством маркшейдерских работ.</w:t>
      </w:r>
    </w:p>
    <w:p w:rsidR="000969F2" w:rsidRDefault="000969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2</w:t>
      </w:r>
    </w:p>
    <w:p w:rsidR="000969F2" w:rsidRDefault="005B537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CB632B" wp14:editId="50A8593D">
            <wp:extent cx="5608800" cy="38896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3FE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388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0969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осуществление контрольно-надзорных функций государственными гражданскими служащими Управления осуществлялось на поднадзорных объектах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Федерации»;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969F2" w:rsidRDefault="00096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Представленный вашему вниманию доклад содержит обобщенную информацию по следующим направлениям федерального государственного надзора осуществляемого Управлением:</w:t>
      </w:r>
    </w:p>
    <w:p w:rsidR="000969F2" w:rsidRDefault="00CA6CAE">
      <w:pPr>
        <w:pStyle w:val="afe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надзор в области промышленной безопасности;</w:t>
      </w:r>
    </w:p>
    <w:p w:rsidR="000969F2" w:rsidRDefault="00CA6CAE">
      <w:pPr>
        <w:pStyle w:val="afe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строительный надзор; </w:t>
      </w:r>
    </w:p>
    <w:p w:rsidR="000969F2" w:rsidRDefault="00CA6CAE">
      <w:pPr>
        <w:pStyle w:val="afe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энергетический надзор;</w:t>
      </w:r>
    </w:p>
    <w:p w:rsidR="000969F2" w:rsidRDefault="00CA6CAE">
      <w:pPr>
        <w:pStyle w:val="afe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надзор в области безопасности гидротехнических сооружений.</w:t>
      </w:r>
    </w:p>
    <w:p w:rsidR="000969F2" w:rsidRDefault="00096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CA6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государственный надзор в области промышленной безопасности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надзора в области промышленной безопасности применяются следующие основные нормативные правовые акты: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 декабря 2002 г. № 184-ФЗ «О техническом регулировании»;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 декабря 2009 г. № 384-ФЗ «Технический регламент о безопасности зданий и сооружений»;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июня 2021 г. № 1082 «О федеральном государственном надзоре в области промышленной безопасности».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в области промышленной безопасности Управлением осуществляется в отношении 14 147 ОПО, из которых:</w:t>
      </w:r>
    </w:p>
    <w:p w:rsidR="000969F2" w:rsidRDefault="00CA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класса опасности – 110,</w:t>
      </w:r>
    </w:p>
    <w:p w:rsidR="000969F2" w:rsidRDefault="00CA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класса опасности – 293,</w:t>
      </w:r>
    </w:p>
    <w:p w:rsidR="000969F2" w:rsidRDefault="00CA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класса опасности – 7929,</w:t>
      </w:r>
    </w:p>
    <w:p w:rsidR="000969F2" w:rsidRDefault="00CA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класса опасности – 5815.</w:t>
      </w:r>
    </w:p>
    <w:p w:rsidR="000969F2" w:rsidRDefault="0009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978">
        <w:rPr>
          <w:rFonts w:ascii="Times New Roman" w:hAnsi="Times New Roman" w:cs="Times New Roman"/>
          <w:b/>
          <w:i/>
          <w:sz w:val="28"/>
          <w:szCs w:val="28"/>
        </w:rPr>
        <w:t>На слайде</w:t>
      </w:r>
      <w:r w:rsidR="00E44978" w:rsidRPr="00E44978">
        <w:rPr>
          <w:rFonts w:ascii="Times New Roman" w:hAnsi="Times New Roman" w:cs="Times New Roman"/>
          <w:b/>
          <w:i/>
          <w:sz w:val="28"/>
          <w:szCs w:val="28"/>
        </w:rPr>
        <w:t xml:space="preserve"> №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общая информация о количестве поднадзорных опасных производственных объектов.</w:t>
      </w:r>
    </w:p>
    <w:p w:rsidR="000969F2" w:rsidRDefault="0009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F2" w:rsidRDefault="00AE2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8800" cy="385003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4AB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385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096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на поднадзорных объектах з</w:t>
      </w:r>
      <w:r w:rsid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арегистрировано 5 аварий (в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7).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отчётный период зарегистрирован 3 несчастных случая со смертельным исходом (в 2023 году – 9).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Управлением проведено 529 мероприятий по контролю и надзору в отношении юридических лиц и индивидуальных предпринимателей, эксплуатирующих ОПО.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проведенных проверок 61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120 – внеплановых проверок и 348 проверок в рамках режима постоянного государственного надзора.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E449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449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слайде</w:t>
      </w:r>
      <w:r w:rsidR="00E44978" w:rsidRPr="00E449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№ </w:t>
      </w:r>
      <w:r w:rsidR="00E449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E449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представлена общая информация по количеству проверок и выявленных нарушений в сравнении 2022-2024 гг.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9F2" w:rsidRDefault="00E449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0000" cy="3841205"/>
            <wp:effectExtent l="0" t="0" r="1905" b="69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6EC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84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096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административных наказаний, наложенных по итогам проверок, составило 1764, в том числе 831 административных штрафа, из них 488 – на юридических лиц, 279 – на должностных лиц, 5 – на индивидуальных предпринимателей, 59 – штраф на гражданина. Помимо этого, было вынесено 918 предупреждений и применено 15 административных приостановлений деятельности.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не было.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юридических лиц и индивидуальных предпринимателей  при организации и проведении контрольных (надзорных) мероприятий в 2024 году соблюдены.</w:t>
      </w:r>
    </w:p>
    <w:p w:rsidR="000969F2" w:rsidRPr="0076257D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7D">
        <w:rPr>
          <w:rFonts w:ascii="Times New Roman" w:hAnsi="Times New Roman" w:cs="Times New Roman"/>
          <w:sz w:val="28"/>
          <w:szCs w:val="28"/>
        </w:rPr>
        <w:t>К типичным нарушениям обязательных требований промышленной безопасности следует отнести (</w:t>
      </w:r>
      <w:r w:rsidRPr="00E4497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44978" w:rsidRPr="00E44978">
        <w:rPr>
          <w:rFonts w:ascii="Times New Roman" w:hAnsi="Times New Roman" w:cs="Times New Roman"/>
          <w:b/>
          <w:i/>
          <w:sz w:val="28"/>
          <w:szCs w:val="28"/>
        </w:rPr>
        <w:t xml:space="preserve"> № 5</w:t>
      </w:r>
      <w:r w:rsidRPr="0076257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E21CB" w:rsidRDefault="001E2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21CB" w:rsidRDefault="00AE2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08800" cy="387862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B46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38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в организации и осуществлении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 руководителями и специалистами предприятий;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аттестации в области промышленной безопасности у руководителей и специалистов организаций;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необеспечение проведения экспертизы промышленной безопасности на технические устройства, здания и сооружения по истечению безопасного срока эксплуатации;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обязательных мероприятий по результатам проведённой экспертизы промышленной безопасности зданий;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необеспечение достоверности сведений, представленных для регистрации в государственном реестре оп</w:t>
      </w:r>
      <w:r w:rsidR="001E21CB">
        <w:rPr>
          <w:rFonts w:ascii="Times New Roman" w:hAnsi="Times New Roman" w:cs="Times New Roman"/>
          <w:sz w:val="28"/>
          <w:szCs w:val="28"/>
        </w:rPr>
        <w:t>асных производственных объектов;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эксплуатации оборудования, несоблюдение технологических регламентов и производственных инструкций;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требований по готовности к действиям по локализации и ликвидации последствий аварии;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ежегодных (до 1 апреля соответствующего календарного года) сведений об организации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 или несоответствие требованиям                    к форме их представления.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57D">
        <w:rPr>
          <w:rFonts w:ascii="Times New Roman" w:hAnsi="Times New Roman" w:cs="Times New Roman"/>
          <w:sz w:val="28"/>
          <w:szCs w:val="28"/>
        </w:rPr>
        <w:t>Для достижения основных показателей результативности и эффективности профилактики рисков причинения вреда (ущерба) в 2024 году Северо-Западным управлением Ростехнадзора на постоянной основе реализовывались следующие мероприяти</w:t>
      </w:r>
      <w:proofErr w:type="gramStart"/>
      <w:r w:rsidRPr="0076257D">
        <w:rPr>
          <w:rFonts w:ascii="Times New Roman" w:hAnsi="Times New Roman" w:cs="Times New Roman"/>
          <w:sz w:val="28"/>
          <w:szCs w:val="28"/>
        </w:rPr>
        <w:t>я</w:t>
      </w:r>
      <w:r w:rsidR="0076257D" w:rsidRPr="007625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257D" w:rsidRPr="00E4497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44978" w:rsidRPr="00E44978">
        <w:rPr>
          <w:rFonts w:ascii="Times New Roman" w:hAnsi="Times New Roman" w:cs="Times New Roman"/>
          <w:b/>
          <w:i/>
          <w:sz w:val="28"/>
          <w:szCs w:val="28"/>
        </w:rPr>
        <w:t xml:space="preserve"> № 6</w:t>
      </w:r>
      <w:r w:rsidR="0076257D" w:rsidRPr="0076257D">
        <w:rPr>
          <w:rFonts w:ascii="Times New Roman" w:hAnsi="Times New Roman" w:cs="Times New Roman"/>
          <w:sz w:val="28"/>
          <w:szCs w:val="28"/>
        </w:rPr>
        <w:t>):</w:t>
      </w:r>
    </w:p>
    <w:p w:rsidR="009401D6" w:rsidRDefault="00AE2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08800" cy="390719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A9AE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390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Pr="005566A7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эксплуатирующим опасные производственные объекты, было объявлено </w:t>
      </w:r>
      <w:r w:rsidRPr="005566A7">
        <w:rPr>
          <w:rFonts w:ascii="Times New Roman" w:hAnsi="Times New Roman" w:cs="Times New Roman"/>
          <w:sz w:val="28"/>
          <w:szCs w:val="28"/>
        </w:rPr>
        <w:t>1012 предостережений о недопустимости нарушения обязательных требований в области промышленной безопасности;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A7">
        <w:rPr>
          <w:rFonts w:ascii="Times New Roman" w:hAnsi="Times New Roman" w:cs="Times New Roman"/>
          <w:sz w:val="28"/>
          <w:szCs w:val="28"/>
        </w:rPr>
        <w:t xml:space="preserve">по обращениям юридических лиц, индивидуальных предпринимателей, эксплуатирующих опасные производственные объекты, осуществлено 3066 </w:t>
      </w:r>
      <w:r>
        <w:rPr>
          <w:rFonts w:ascii="Times New Roman" w:hAnsi="Times New Roman" w:cs="Times New Roman"/>
          <w:sz w:val="28"/>
          <w:szCs w:val="28"/>
        </w:rPr>
        <w:t>консультирований, включая письменное консультирование по 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Pr="00CE66FC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по вопросам соблюдения обязательных требований промышленной безопасности посредством размещения соответствующих сведений на официальных сайтах Ростехнадзора и его территориальных органов в сети «Интернет»: 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размещались и поддерживались в актуальном состоянии: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изменениях, внесённых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проведены обсуждения правоприменительной практики;</w:t>
      </w:r>
    </w:p>
    <w:p w:rsidR="000969F2" w:rsidRDefault="00556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 «Берг-К</w:t>
      </w:r>
      <w:r w:rsidR="00CA6CAE">
        <w:rPr>
          <w:rFonts w:ascii="Times New Roman" w:hAnsi="Times New Roman" w:cs="Times New Roman"/>
          <w:sz w:val="28"/>
          <w:szCs w:val="28"/>
        </w:rPr>
        <w:t>оллегия» направлены сведения о контрольной (надзорной) деятельности, информационные материалы;</w:t>
      </w:r>
    </w:p>
    <w:p w:rsidR="000969F2" w:rsidRPr="00B7765B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</w:t>
      </w:r>
      <w:r w:rsidRPr="00CE66FC">
        <w:rPr>
          <w:rFonts w:ascii="Times New Roman" w:hAnsi="Times New Roman" w:cs="Times New Roman"/>
          <w:sz w:val="28"/>
          <w:szCs w:val="28"/>
        </w:rPr>
        <w:t xml:space="preserve">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4 заявления, по </w:t>
      </w:r>
      <w:proofErr w:type="gramStart"/>
      <w:r w:rsidRPr="00CE66FC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CE66FC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соответствии критериям добросовестности в отношении 2 организаций.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показывает, что основной причиной снижения уровня промышленной безопасности</w:t>
      </w:r>
      <w:r w:rsidR="005566A7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формальный подход руководителей, а также инженерно-технических работников организаций к осуществлению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безопасности;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Перейдем к вопросу осуществления государственного энергетического надзора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энергетического надзора применяется следующие основные нормативные правовые акты: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26.03.2003 № 35-ФЗ «Об электроэнергетике»;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190-ФЗ «О теплоснабжении»;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постановление Правительства Российской Федерации от 30.06.2021 № 1085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федеральном государственном энергетическом надзоре</w:t>
      </w:r>
      <w:r>
        <w:rPr>
          <w:rFonts w:ascii="Times New Roman" w:hAnsi="Times New Roman"/>
          <w:sz w:val="28"/>
          <w:szCs w:val="28"/>
          <w:lang w:bidi="ru-RU"/>
        </w:rPr>
        <w:t>».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общее количество поднадзорных Северо-Западному управлению Ростехнадзора организаций составляет 23423, в том числе потребителей электроэнергии – 22000.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инспекторским составом допущено в эксплуатацию 4841 новых и реконструированных энергоустановок.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на поднадзорных объектах зарегистрирована 1 авария на объектах электроэнергетики, в 2023 году была авария на объекте теплоснабжения.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зарегистрировано 3 несчастных случаев со смертельным исходом на объектах электроэнергетики (в 2023 году – 2).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E449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слайде</w:t>
      </w:r>
      <w:r w:rsidR="00E44978" w:rsidRPr="00E449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№ </w:t>
      </w:r>
      <w:r w:rsidR="00F50F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представлена общая информация по количеству проверок и количеству выявленных нарушений в сравнении </w:t>
      </w:r>
      <w:r w:rsidRPr="00C87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2022-2024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инспекторским составом Управления было проведено 99 проверок, из них плановых – 32 (в 2023 году – 41), внеплановых – 67 (в 2023 году – 17).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E44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1883" cy="3744000"/>
            <wp:effectExtent l="0" t="0" r="8890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1C8A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883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(надзорных) мероприятий выявлено 26 662 нарушений обязательных требований. По результатам контрольных (надзорных) мероприятий назначено 500 административных наказаний. Административное приостановление деятельности не применялось.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нарушителей обязательных требований в области федерального государственного энергетического надзора наложено 208 административных штрафов. Общая сумма наложенных административных штрафов составила 2411,5 тыс. рублей.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или судебного обжалования административных наказаний – 2, из них удовлетворено – 2 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Управления в рамках проверок – 1, из них удовлетворено – 0 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юридических лиц и индивидуальных предпринимателей при организации и проведении контрольных (надзорных) мероприятий в 2024 году соблюдены.</w:t>
      </w:r>
    </w:p>
    <w:p w:rsidR="000969F2" w:rsidRPr="005566A7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A7">
        <w:rPr>
          <w:rFonts w:ascii="Times New Roman" w:hAnsi="Times New Roman" w:cs="Times New Roman"/>
          <w:sz w:val="28"/>
          <w:szCs w:val="28"/>
        </w:rPr>
        <w:t>К типичным нарушениям обязательных требований в рамках федерального государственного энергетического надзора следует отнести (</w:t>
      </w:r>
      <w:r w:rsidRPr="00E4497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44978" w:rsidRPr="00E44978">
        <w:rPr>
          <w:rFonts w:ascii="Times New Roman" w:hAnsi="Times New Roman" w:cs="Times New Roman"/>
          <w:b/>
          <w:i/>
          <w:sz w:val="28"/>
          <w:szCs w:val="28"/>
        </w:rPr>
        <w:t xml:space="preserve"> № 8</w:t>
      </w:r>
      <w:r w:rsidRPr="005566A7">
        <w:rPr>
          <w:rFonts w:ascii="Times New Roman" w:hAnsi="Times New Roman" w:cs="Times New Roman"/>
          <w:sz w:val="28"/>
          <w:szCs w:val="28"/>
        </w:rPr>
        <w:t>):</w:t>
      </w:r>
    </w:p>
    <w:p w:rsidR="006F5D52" w:rsidRDefault="00AE2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08800" cy="387587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3CA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387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здания и сооружения не содержатся в исправном состоянии, обеспечивающем длительное, надёжное использование их по назначению, с учётом требований санитарных норм и правил, правил безопасности труда;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обеспечивается содержание воздушных линий электропередачи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) в исправном состоянии (недопустимое загнивание деревянных стоек опор ВЛ, недопустимый наклон опор, отсутствие необходимых надписей на опорах);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проводятся плановые ремонты и испытания оборудования в установленные техническими нормами сроки;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выполняются техническое обслуживание и необходимые ремонтные работы при эксплуатации тепловых энергоустановок.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готовности субъектов электроэнергетики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2024-2025 годов Северо-Западное управление Ростехнадзора приняло участие в работе комиссий, образованных органами местного самоуправления, по оценке готовности 1023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к предстоящему отопительному периоду. Было выявлено свыше 9866 нарушений требований по готовности.</w:t>
      </w:r>
    </w:p>
    <w:p w:rsidR="009401D6" w:rsidRPr="005566A7" w:rsidRDefault="00CA6CAE" w:rsidP="0094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A7">
        <w:rPr>
          <w:rFonts w:ascii="Times New Roman" w:hAnsi="Times New Roman" w:cs="Times New Roman"/>
          <w:sz w:val="28"/>
          <w:szCs w:val="28"/>
        </w:rPr>
        <w:t>Для достижения основных показателей результативности и эффективности профилактики рисков причинения вреда (ущерба) в 2024 году Северо-Западным управлением Ростехнадзора на постоянной основе реализовывались следующие мероприятия</w:t>
      </w:r>
      <w:r w:rsidR="000E3EF7" w:rsidRPr="005566A7">
        <w:rPr>
          <w:rFonts w:ascii="Times New Roman" w:hAnsi="Times New Roman" w:cs="Times New Roman"/>
          <w:sz w:val="28"/>
          <w:szCs w:val="28"/>
        </w:rPr>
        <w:t xml:space="preserve"> </w:t>
      </w:r>
      <w:r w:rsidR="000E3EF7" w:rsidRPr="005566A7">
        <w:rPr>
          <w:rFonts w:ascii="Times New Roman" w:hAnsi="Times New Roman" w:cs="Times New Roman"/>
          <w:b/>
          <w:sz w:val="28"/>
          <w:szCs w:val="28"/>
        </w:rPr>
        <w:t>(</w:t>
      </w:r>
      <w:r w:rsidR="000E3EF7" w:rsidRPr="00E4497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44978">
        <w:rPr>
          <w:rFonts w:ascii="Times New Roman" w:hAnsi="Times New Roman" w:cs="Times New Roman"/>
          <w:b/>
          <w:i/>
          <w:sz w:val="28"/>
          <w:szCs w:val="28"/>
        </w:rPr>
        <w:t xml:space="preserve"> № 9-10</w:t>
      </w:r>
      <w:r w:rsidR="000E3EF7" w:rsidRPr="005566A7">
        <w:rPr>
          <w:rFonts w:ascii="Times New Roman" w:hAnsi="Times New Roman" w:cs="Times New Roman"/>
          <w:b/>
          <w:sz w:val="28"/>
          <w:szCs w:val="28"/>
        </w:rPr>
        <w:t>)</w:t>
      </w:r>
      <w:r w:rsidRPr="005566A7">
        <w:rPr>
          <w:rFonts w:ascii="Times New Roman" w:hAnsi="Times New Roman" w:cs="Times New Roman"/>
          <w:b/>
          <w:sz w:val="28"/>
          <w:szCs w:val="28"/>
        </w:rPr>
        <w:t>:</w:t>
      </w:r>
    </w:p>
    <w:p w:rsidR="009401D6" w:rsidRDefault="00E44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16000" cy="3901208"/>
            <wp:effectExtent l="0" t="0" r="381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523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90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6D9" w:rsidRDefault="00AE2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08800" cy="3875871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ECD7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387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1D6" w:rsidRDefault="00940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 было объявлено </w:t>
      </w:r>
      <w:r w:rsidRPr="000E3EF7">
        <w:rPr>
          <w:rFonts w:ascii="Times New Roman" w:hAnsi="Times New Roman" w:cs="Times New Roman"/>
          <w:b/>
          <w:sz w:val="28"/>
          <w:szCs w:val="28"/>
        </w:rPr>
        <w:t>419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в области федерального государственного энергетического надзора, из них: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электроэнергетики – 305;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теплоснабжения – 114.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осуществлялось информирование лиц по вопросам соблюдения обязательных требований, в том числе изменения обязательных требований, оценка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является предметом государственного контроля (надзора) в установленной сфере деятельности;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Ростехнадзора в сети «Интернет» обеспечен доступ к открытым данным, содержащимся в информационных системах Ростехнадзора, с целью информирования контролируемых лиц по вопросам соблюдения обязательных требований в области федерального государственного энергетического надзора.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показывает, что основными причинами снижения уровня безопасности в области федерального государственного энергетического надзора является: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восполнение основных производственных фондов предприятий, необходимых для строительства, реконструкции, модернизации или эксплуатации энергоустановок;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присоединение к существующим системам теплоснабжения новых потребителей без учёта пропускной способности тепловых сетей и модернизации основного тепломеханического оборудования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производительное.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0969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F2" w:rsidRDefault="000969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F2" w:rsidRDefault="000969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F2" w:rsidRDefault="000969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государственный надзор в области безопасности гидротехнических сооружений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 июля 1997 г. № 117-ФЗ «О безопасности гидротехнических сооружений»;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федеральном государственном надзоре в области безопасности гидротехнических сооружений, утверждённое постановлением Правительства Российской Федерации от 30 июня 2021 г. № 1080.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поднадзорных Северо-Западному управлению </w:t>
      </w:r>
      <w:r w:rsidRPr="005566A7">
        <w:rPr>
          <w:rFonts w:ascii="Times New Roman" w:hAnsi="Times New Roman" w:cs="Times New Roman"/>
          <w:sz w:val="28"/>
          <w:szCs w:val="28"/>
        </w:rPr>
        <w:t>Ростехнадзора ГТС (комплексов ГТС) составляет  702 (</w:t>
      </w:r>
      <w:r w:rsidRPr="00E4497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44978" w:rsidRPr="00E44978">
        <w:rPr>
          <w:rFonts w:ascii="Times New Roman" w:hAnsi="Times New Roman" w:cs="Times New Roman"/>
          <w:b/>
          <w:i/>
          <w:sz w:val="28"/>
          <w:szCs w:val="28"/>
        </w:rPr>
        <w:t xml:space="preserve"> № 11</w:t>
      </w:r>
      <w:r w:rsidRPr="005566A7">
        <w:rPr>
          <w:rFonts w:ascii="Times New Roman" w:hAnsi="Times New Roman" w:cs="Times New Roman"/>
          <w:sz w:val="28"/>
          <w:szCs w:val="28"/>
        </w:rPr>
        <w:t>), из них:</w:t>
      </w:r>
    </w:p>
    <w:p w:rsidR="009F421B" w:rsidRPr="00411F65" w:rsidRDefault="00AE2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08800" cy="385663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85AD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385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Pr="005566A7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A7">
        <w:rPr>
          <w:rFonts w:ascii="Times New Roman" w:hAnsi="Times New Roman" w:cs="Times New Roman"/>
          <w:sz w:val="28"/>
          <w:szCs w:val="28"/>
        </w:rPr>
        <w:t xml:space="preserve">100 ГТС (комплексов ГТС) промышленности; </w:t>
      </w:r>
    </w:p>
    <w:p w:rsidR="000969F2" w:rsidRPr="005566A7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A7">
        <w:rPr>
          <w:rFonts w:ascii="Times New Roman" w:hAnsi="Times New Roman" w:cs="Times New Roman"/>
          <w:sz w:val="28"/>
          <w:szCs w:val="28"/>
        </w:rPr>
        <w:t xml:space="preserve">82 ГТС (комплексов ГТС) энергетики; </w:t>
      </w:r>
    </w:p>
    <w:p w:rsidR="000969F2" w:rsidRPr="005566A7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A7">
        <w:rPr>
          <w:rFonts w:ascii="Times New Roman" w:hAnsi="Times New Roman" w:cs="Times New Roman"/>
          <w:sz w:val="28"/>
          <w:szCs w:val="28"/>
        </w:rPr>
        <w:t xml:space="preserve">520 ГТС (комплексов ГТС) водохозяйственного назначения ГТС. 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организаций, эксплуатирующих гидротехнические сооружения, составило 225 .</w:t>
      </w:r>
    </w:p>
    <w:p w:rsidR="000969F2" w:rsidRDefault="00CD1C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1986" cy="37440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852B6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986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год наблюдается отсутствие аварий на подконтрольных гидротехнических объектах.</w:t>
      </w:r>
    </w:p>
    <w:p w:rsidR="000969F2" w:rsidRPr="000E3EF7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2024 году в рамках осуществления контрольной (надзорной) деятельности Северо-Западным управлением Ростехнадзора проведено  8  контрольных (надзорных) мероприятий (в 2023 году –  13), из них плановых –  3  (в 2023 году –  10), внеплановых –  5  (в 2023 году –  3) </w:t>
      </w:r>
      <w:r w:rsidRPr="005566A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44978">
        <w:rPr>
          <w:rFonts w:ascii="Times New Roman" w:hAnsi="Times New Roman" w:cs="Times New Roman"/>
          <w:b/>
          <w:bCs/>
          <w:i/>
          <w:sz w:val="28"/>
          <w:szCs w:val="28"/>
        </w:rPr>
        <w:t>слайд</w:t>
      </w:r>
      <w:r w:rsidR="00E44978" w:rsidRPr="00E44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13</w:t>
      </w:r>
      <w:r w:rsidRPr="005566A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566A7">
        <w:rPr>
          <w:rFonts w:ascii="Times New Roman" w:hAnsi="Times New Roman" w:cs="Times New Roman"/>
          <w:b/>
          <w:sz w:val="28"/>
          <w:szCs w:val="28"/>
        </w:rPr>
        <w:t>.</w:t>
      </w:r>
      <w:r w:rsidRPr="000E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режима постоянного государственного надзора проведено 89 контрольных (надзорных) действий (в 2023 году – 40).</w:t>
      </w:r>
    </w:p>
    <w:p w:rsidR="000969F2" w:rsidRDefault="00CD1C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8505" cy="374400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8D1B5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505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69F2" w:rsidRDefault="000969F2" w:rsidP="00C6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контрольных (надзорны</w:t>
      </w:r>
      <w:r w:rsidR="005566A7">
        <w:rPr>
          <w:rFonts w:ascii="Times New Roman" w:hAnsi="Times New Roman" w:cs="Times New Roman"/>
          <w:sz w:val="28"/>
          <w:szCs w:val="28"/>
        </w:rPr>
        <w:t xml:space="preserve">х) мероприятий выявлено 249 </w:t>
      </w:r>
      <w:r>
        <w:rPr>
          <w:rFonts w:ascii="Times New Roman" w:hAnsi="Times New Roman" w:cs="Times New Roman"/>
          <w:sz w:val="28"/>
          <w:szCs w:val="28"/>
        </w:rPr>
        <w:t>нарушений обязательных требований. По результатам контрольных (надзорных) мероприятий назначено 35 административных наказаний. Административное приостановление деятельности не применялось.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нарушителей обязательных требований в области безопасности гидротехнических сооружений наложено 22 административных штрафа. Общая сумма наложенных административных штрафов составила 705 тыс. рублей.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 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 не зарегистрировано. 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юридических лиц и индивидуальных предпринимателей при организации и проведении контрольных (надзорных) мероприятий в 2024 году соблюдены.</w:t>
      </w:r>
    </w:p>
    <w:p w:rsidR="000969F2" w:rsidRPr="005566A7" w:rsidRDefault="00CA6CA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66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в области безопасности гидротехнических сооружений следует отнести (</w:t>
      </w:r>
      <w:r w:rsidRPr="00E4497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слайд</w:t>
      </w:r>
      <w:r w:rsidR="00E44978" w:rsidRPr="00E4497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№ 14</w:t>
      </w:r>
      <w:r w:rsidRPr="005566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):</w:t>
      </w:r>
    </w:p>
    <w:p w:rsidR="00F75108" w:rsidRDefault="00AE29A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16000" cy="3853880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A090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85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обеспечивается надлежащее техническое обслуживание, эксплуатационный контроль и текущий ремонт ГТС;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дефектов бетонных сооружений комплекса ГТС;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зарастание ГТС древесно-кустарниковой растительностью;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за эксплуатацию ГТС лицами не пройдены аттестации по вопросам безопасности гидротехнических сооружений.</w:t>
      </w:r>
    </w:p>
    <w:p w:rsidR="000969F2" w:rsidRPr="005566A7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A7">
        <w:rPr>
          <w:rFonts w:ascii="Times New Roman" w:hAnsi="Times New Roman" w:cs="Times New Roman"/>
          <w:sz w:val="28"/>
          <w:szCs w:val="28"/>
        </w:rPr>
        <w:t>Для достижения основных показателей результативности  и эффективности профилактики рисков причинения вреда (ущерба) в 2024 году Северо-Западным управлением Ростехнадзора на постоянной основе реализовывались следующие мероприятия</w:t>
      </w:r>
      <w:r w:rsidR="00C62324" w:rsidRPr="005566A7">
        <w:rPr>
          <w:rFonts w:ascii="Times New Roman" w:hAnsi="Times New Roman" w:cs="Times New Roman"/>
          <w:sz w:val="28"/>
          <w:szCs w:val="28"/>
        </w:rPr>
        <w:t xml:space="preserve"> </w:t>
      </w:r>
      <w:r w:rsidR="00C62324" w:rsidRPr="005566A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</w:t>
      </w:r>
      <w:r w:rsidR="00C62324" w:rsidRPr="00E4497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слайд</w:t>
      </w:r>
      <w:r w:rsidR="00E44978" w:rsidRPr="00E4497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№ 15</w:t>
      </w:r>
      <w:r w:rsidR="00C62324" w:rsidRPr="005566A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  <w:r w:rsidRPr="005566A7">
        <w:rPr>
          <w:rFonts w:ascii="Times New Roman" w:hAnsi="Times New Roman" w:cs="Times New Roman"/>
          <w:sz w:val="28"/>
          <w:szCs w:val="28"/>
        </w:rPr>
        <w:t>:</w:t>
      </w:r>
    </w:p>
    <w:p w:rsidR="00C62324" w:rsidRPr="00701512" w:rsidRDefault="00AE2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16000" cy="3903409"/>
            <wp:effectExtent l="0" t="0" r="381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447D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90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Pr="005566A7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43 организации, эксплуатирующей ГТС, было объявлено 77 предостережений о недопустимости нарушений обязательных требований в области безопасности гидротехнических сооружений</w:t>
      </w:r>
      <w:r w:rsidR="00AE198B">
        <w:rPr>
          <w:rFonts w:ascii="Times New Roman" w:hAnsi="Times New Roman" w:cs="Times New Roman"/>
          <w:sz w:val="28"/>
          <w:szCs w:val="28"/>
        </w:rPr>
        <w:t xml:space="preserve">, </w:t>
      </w:r>
      <w:r w:rsidR="00AE198B" w:rsidRPr="005566A7">
        <w:rPr>
          <w:rFonts w:ascii="Times New Roman" w:hAnsi="Times New Roman" w:cs="Times New Roman"/>
          <w:sz w:val="28"/>
          <w:szCs w:val="28"/>
        </w:rPr>
        <w:t>осуществлено 479 консультирований</w:t>
      </w:r>
      <w:r w:rsidRPr="005566A7">
        <w:rPr>
          <w:rFonts w:ascii="Times New Roman" w:hAnsi="Times New Roman" w:cs="Times New Roman"/>
          <w:sz w:val="28"/>
          <w:szCs w:val="28"/>
        </w:rPr>
        <w:t>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Ростехнадзора в сети «Интернет» обеспечен доступ к открытым данным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работа по консультированию поднадзорных предприятий по вопросам, касающимся соблюдения требований безопасности при эксплуатации опасных объектов;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 информационные письма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юридических лиц и индивидуальных предпринимателей, эксплуатирующих гидротехнические сооружения, с целью проведения </w:t>
      </w:r>
      <w:r w:rsidRPr="005566A7">
        <w:rPr>
          <w:rFonts w:ascii="Times New Roman" w:hAnsi="Times New Roman" w:cs="Times New Roman"/>
          <w:sz w:val="28"/>
          <w:szCs w:val="28"/>
        </w:rPr>
        <w:t>оценки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предусматривающей оценку соответствия организации, эксплуатирующей гидротехнические сооружения, критериям добросовестности, поступило 1 заявлений,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несоответствии критериям добросовестности.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показывает, что основной причиной снижения уровня безопасности в области безопасности гидротехнических сооружений является: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диагностирование;</w:t>
      </w:r>
    </w:p>
    <w:p w:rsidR="000969F2" w:rsidRDefault="00CA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ГТС,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отработавших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нормативный срок. </w:t>
      </w: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CA6CAE">
      <w:pPr>
        <w:pStyle w:val="aff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государственный строительный надзор</w:t>
      </w:r>
    </w:p>
    <w:p w:rsidR="000969F2" w:rsidRDefault="000969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CA6C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0969F2" w:rsidRDefault="00CA6C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0969F2" w:rsidRDefault="00CA6C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0969F2" w:rsidRDefault="00CA6C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надзоре».</w:t>
      </w:r>
    </w:p>
    <w:p w:rsidR="000969F2" w:rsidRDefault="00CA6CAE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федеральный государственный строительный надзор осуществлялся в отношении 492 объектов капитального строительства.</w:t>
      </w:r>
    </w:p>
    <w:p w:rsidR="000969F2" w:rsidRDefault="00CA6CAE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случаев причинения вреда (ущерба) охраняемым законом ценностям не зафиксировано (в 2023 году – 0). </w:t>
      </w:r>
    </w:p>
    <w:p w:rsidR="000969F2" w:rsidRDefault="00CA6CAE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в 2024 году Северо-Западным управлением Ростехнадзора проведено 701 контрольных (надзорных) мероприятия деятельности юридических лиц, индивидуальных предпринимателей, осуществляющих строительство, реконструкцию объектов капитального строительства (в 2023 году – 698),  из них 673 контрольных (надзорных) мероприятий проведено по программе проверок (436 – при строительстве, 237 – при реконструкции объектов), 28 контрольных (надзорных) мероприятий проведено по иным основаниям (7 – при строительстве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 – на объектах, подлежащих реконструкции).</w:t>
      </w:r>
      <w:proofErr w:type="gramEnd"/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слайде</w:t>
      </w:r>
      <w:r w:rsidR="00E4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показатели надзорной деятельности при осуществлении федерального государственного строительного надзора. </w:t>
      </w:r>
    </w:p>
    <w:p w:rsidR="000969F2" w:rsidRDefault="00AE2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6000" cy="3889100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2931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8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0969F2">
      <w:pPr>
        <w:pStyle w:val="af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969F2" w:rsidRDefault="00CA6CAE">
      <w:pPr>
        <w:pStyle w:val="af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(надзорных) мероприятий в отношении юридических лиц, индивидуальных предпринимателей Северо-Западным управлением Ростехнадзора в 2024 году было выявлено 4428 нарушений (при строительстве объектов – 2791, при реконструкции объектов – 1637)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проведённых в 2024 году контрольных (надзорных) мероприятий и выявленных административных правонарушений назначено 404 административных наказания, в том числе в виде административных штрафов – 223, предупреждений – 181, административных приостановлений деятельности – 0. 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административных штрафов составила 22843 рублей. 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типичным нарушениям в сфере федерального государственного строительного надзора относятся</w:t>
      </w:r>
      <w:r w:rsidR="00C62324" w:rsidRP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324" w:rsidRPr="0055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E4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</w:t>
      </w:r>
      <w:r w:rsidR="00C62324" w:rsidRPr="0055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5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978" w:rsidRDefault="00E449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580000" cy="3858702"/>
            <wp:effectExtent l="0" t="0" r="1905" b="889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7428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85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утверждённой в установленном порядке проектной документации;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требований к порядку осуществления строительного контроля;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установленного порядка строительства, реконструкции объектов капитального строительства, ввода их в эксплуатацию (строительство, реконструкция объектов капитального строительства при отсутствии разрешения на строительство, несвоевременное извещение Ростехнадзора  о начале строительства или завершении работ; эксплуатация объектов капитального строительства при отсутствии разрешения на ввод).</w:t>
      </w:r>
    </w:p>
    <w:p w:rsidR="00EB6174" w:rsidRPr="005566A7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показателей результативности и эффективности профилактики рисков причинения вреда (ущерба) Северо-Западным управлением Ростехнадзора в 2024 году было проведено 672 профилактических мероприятия, в том числе</w:t>
      </w:r>
      <w:r w:rsidR="00E4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4978" w:rsidRPr="00E449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 18</w:t>
      </w:r>
      <w:r w:rsidR="00E449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69F2" w:rsidRDefault="00AE2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16000" cy="3885248"/>
            <wp:effectExtent l="0" t="0" r="381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648D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88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F2" w:rsidRPr="005566A7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15 предостережений о недопустимости нарушений требований законодательства;</w:t>
      </w:r>
    </w:p>
    <w:p w:rsidR="000969F2" w:rsidRPr="005566A7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7;</w:t>
      </w:r>
    </w:p>
    <w:p w:rsidR="000969F2" w:rsidRPr="005566A7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консультирований 594;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53.</w:t>
      </w:r>
    </w:p>
    <w:p w:rsidR="000969F2" w:rsidRDefault="00096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Северо-Западное управление Ростехнадзора в своей деятельности ставит в приоритет профилактические мероприятия,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снижение риска причинения вреда (ущерба), по отношению к проведению контрольных (надзорных) мероприятий, как и закреплено в статье 8 Федерального закона от 31.07.2020 № 248-ФЗ «О государственном контроле (надзоре) и муниципальном контроле». 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4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r w:rsidRPr="00556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обобщенная информация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проведенных Северо-Западным управлением Ростехнадзора профилактических мероприятиях в 2024 году. </w:t>
      </w:r>
    </w:p>
    <w:p w:rsidR="00161F46" w:rsidRDefault="00556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26FC4E" wp14:editId="48AA0A56">
            <wp:extent cx="4229100" cy="2946072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C9DF9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744" cy="294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46" w:rsidRDefault="00161F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расширяется перечень возможных видов профилактических мероприятий в федеральном государственном надзоре в области промышленной безопасности (добавляются профилактические визиты), в федеральном государственном надзоре в области энергетического надзора (добавляется консультирование, профилактические визиты).</w:t>
      </w:r>
    </w:p>
    <w:p w:rsidR="000969F2" w:rsidRDefault="00CA6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обязательный профилактический визит не предусматривает отказ контролируемого лица от его проведения. </w:t>
      </w:r>
    </w:p>
    <w:p w:rsidR="000969F2" w:rsidRDefault="00096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CA6C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Благодарю за внимание!</w:t>
      </w:r>
    </w:p>
    <w:p w:rsidR="000969F2" w:rsidRDefault="00096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0969F2" w:rsidP="00C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69F2" w:rsidRDefault="00096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9F2" w:rsidRDefault="0009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2" w:rsidRDefault="000969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9F2" w:rsidRDefault="000969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F2" w:rsidRDefault="000969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0969F2">
      <w:headerReference w:type="default" r:id="rId27"/>
      <w:pgSz w:w="11906" w:h="16838"/>
      <w:pgMar w:top="1134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2B" w:rsidRDefault="0039762B">
      <w:pPr>
        <w:spacing w:after="0" w:line="240" w:lineRule="auto"/>
      </w:pPr>
      <w:r>
        <w:separator/>
      </w:r>
    </w:p>
  </w:endnote>
  <w:endnote w:type="continuationSeparator" w:id="0">
    <w:p w:rsidR="0039762B" w:rsidRDefault="0039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2B" w:rsidRDefault="0039762B">
      <w:pPr>
        <w:spacing w:after="0" w:line="240" w:lineRule="auto"/>
      </w:pPr>
      <w:r>
        <w:separator/>
      </w:r>
    </w:p>
  </w:footnote>
  <w:footnote w:type="continuationSeparator" w:id="0">
    <w:p w:rsidR="0039762B" w:rsidRDefault="0039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7850"/>
      <w:docPartObj>
        <w:docPartGallery w:val="Page Numbers (Top of Page)"/>
        <w:docPartUnique/>
      </w:docPartObj>
    </w:sdtPr>
    <w:sdtEndPr/>
    <w:sdtContent>
      <w:p w:rsidR="000969F2" w:rsidRDefault="00CA6CAE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CA4">
          <w:rPr>
            <w:noProof/>
          </w:rPr>
          <w:t>13</w:t>
        </w:r>
        <w:r>
          <w:fldChar w:fldCharType="end"/>
        </w:r>
      </w:p>
    </w:sdtContent>
  </w:sdt>
  <w:p w:rsidR="000969F2" w:rsidRDefault="000969F2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58DC"/>
    <w:multiLevelType w:val="multilevel"/>
    <w:tmpl w:val="96D2736C"/>
    <w:lvl w:ilvl="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2331D9"/>
    <w:multiLevelType w:val="multilevel"/>
    <w:tmpl w:val="256891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numFmt w:val="bullet"/>
      <w:lvlText w:val="扶⺬4ꂠ捪⸔4扶⺬4ꂠ捪儘X⸈4驲扶⺸4兀X⸰4"/>
      <w:lvlJc w:val="left"/>
    </w:lvl>
    <w:lvl w:ilvl="2">
      <w:numFmt w:val="bullet"/>
      <w:lvlText w:val="扶⺬4ꂠ捪⸔4扶⺬4ꂠ捪儘X⸈4驲扶⺸4兀X⸰4"/>
      <w:lvlJc w:val="left"/>
    </w:lvl>
    <w:lvl w:ilvl="3">
      <w:numFmt w:val="bullet"/>
      <w:lvlText w:val="扶⺬4ꂠ捪⸔4扶⺬4ꂠ捪儘X⸈4驲扶⺸4兀X⸰4"/>
      <w:lvlJc w:val="left"/>
    </w:lvl>
    <w:lvl w:ilvl="4">
      <w:numFmt w:val="bullet"/>
      <w:lvlText w:val="扶⺬4ꂠ捪⸔4扶⺬4ꂠ捪儘X⸈4驲扶⺸4兀X⸰4"/>
      <w:lvlJc w:val="left"/>
    </w:lvl>
    <w:lvl w:ilvl="5">
      <w:numFmt w:val="bullet"/>
      <w:lvlText w:val="扶⺬4ꂠ捪⸔4扶⺬4ꂠ捪儘X⸈4驲扶⺸4兀X⸰4"/>
      <w:lvlJc w:val="left"/>
    </w:lvl>
    <w:lvl w:ilvl="6">
      <w:numFmt w:val="bullet"/>
      <w:lvlText w:val="扶⺬4ꂠ捪⸔4扶⺬4ꂠ捪儘X⸈4驲扶⺸4兀X⸰4"/>
      <w:lvlJc w:val="left"/>
    </w:lvl>
    <w:lvl w:ilvl="7">
      <w:numFmt w:val="bullet"/>
      <w:lvlText w:val="扶⺬4ꂠ捪⸔4扶⺬4ꂠ捪儘X⸈4驲扶⺸4兀X⸰4"/>
      <w:lvlJc w:val="left"/>
    </w:lvl>
    <w:lvl w:ilvl="8">
      <w:numFmt w:val="bullet"/>
      <w:lvlText w:val="扶⺬4ꂠ捪⸔4扶⺬4ꂠ捪儘X⸈4驲扶⺸4兀X⸰4"/>
      <w:lvlJc w:val="left"/>
    </w:lvl>
  </w:abstractNum>
  <w:abstractNum w:abstractNumId="2">
    <w:nsid w:val="32C73A17"/>
    <w:multiLevelType w:val="multilevel"/>
    <w:tmpl w:val="7FCAC88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E5CB8"/>
    <w:multiLevelType w:val="multilevel"/>
    <w:tmpl w:val="AE00AAE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610DCC"/>
    <w:multiLevelType w:val="multilevel"/>
    <w:tmpl w:val="E718172C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AE2A15"/>
    <w:multiLevelType w:val="multilevel"/>
    <w:tmpl w:val="51B05B28"/>
    <w:lvl w:ilvl="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E71C8B"/>
    <w:multiLevelType w:val="multilevel"/>
    <w:tmpl w:val="91D4DE02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452EAA"/>
    <w:multiLevelType w:val="multilevel"/>
    <w:tmpl w:val="D8D02EAE"/>
    <w:lvl w:ilvl="0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52F701BB"/>
    <w:multiLevelType w:val="multilevel"/>
    <w:tmpl w:val="1A10349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2"/>
    <w:rsid w:val="000969F2"/>
    <w:rsid w:val="000E3EF7"/>
    <w:rsid w:val="00161F46"/>
    <w:rsid w:val="001772ED"/>
    <w:rsid w:val="001E21CB"/>
    <w:rsid w:val="003539F9"/>
    <w:rsid w:val="0039762B"/>
    <w:rsid w:val="00411F65"/>
    <w:rsid w:val="005566A7"/>
    <w:rsid w:val="005A4325"/>
    <w:rsid w:val="005B5372"/>
    <w:rsid w:val="00621994"/>
    <w:rsid w:val="00662DEA"/>
    <w:rsid w:val="006F5D52"/>
    <w:rsid w:val="00701512"/>
    <w:rsid w:val="00743103"/>
    <w:rsid w:val="0076257D"/>
    <w:rsid w:val="008413ED"/>
    <w:rsid w:val="00886BD2"/>
    <w:rsid w:val="008D2058"/>
    <w:rsid w:val="009401D6"/>
    <w:rsid w:val="009F421B"/>
    <w:rsid w:val="00A739BD"/>
    <w:rsid w:val="00AE198B"/>
    <w:rsid w:val="00AE29A1"/>
    <w:rsid w:val="00B7765B"/>
    <w:rsid w:val="00C14493"/>
    <w:rsid w:val="00C4190D"/>
    <w:rsid w:val="00C62324"/>
    <w:rsid w:val="00C626D9"/>
    <w:rsid w:val="00C87B31"/>
    <w:rsid w:val="00CA6CAE"/>
    <w:rsid w:val="00CD1CA4"/>
    <w:rsid w:val="00CE66FC"/>
    <w:rsid w:val="00D87A4A"/>
    <w:rsid w:val="00E27B92"/>
    <w:rsid w:val="00E44978"/>
    <w:rsid w:val="00EB6174"/>
    <w:rsid w:val="00EF5A12"/>
    <w:rsid w:val="00F50F62"/>
    <w:rsid w:val="00F7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</w:style>
  <w:style w:type="paragraph" w:styleId="aff5">
    <w:name w:val="Body Text Indent"/>
    <w:basedOn w:val="a"/>
    <w:link w:val="aff6"/>
    <w:uiPriority w:val="99"/>
    <w:unhideWhenUsed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</w:style>
  <w:style w:type="paragraph" w:styleId="aff5">
    <w:name w:val="Body Text Indent"/>
    <w:basedOn w:val="a"/>
    <w:link w:val="aff6"/>
    <w:uiPriority w:val="99"/>
    <w:unhideWhenUsed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03A3-5798-43EE-98C0-9D3314FF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20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Павловна</dc:creator>
  <cp:lastModifiedBy>Николаева Юлия Павловна</cp:lastModifiedBy>
  <cp:revision>26</cp:revision>
  <cp:lastPrinted>2025-02-10T12:51:00Z</cp:lastPrinted>
  <dcterms:created xsi:type="dcterms:W3CDTF">2025-02-07T10:47:00Z</dcterms:created>
  <dcterms:modified xsi:type="dcterms:W3CDTF">2025-02-25T07:24:00Z</dcterms:modified>
</cp:coreProperties>
</file>